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5F17A" w14:textId="77777777"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r w:rsidRPr="005435EC">
        <w:rPr>
          <w:rFonts w:asciiTheme="majorHAnsi" w:hAnsiTheme="majorHAnsi" w:cstheme="majorHAnsi"/>
          <w:sz w:val="20"/>
          <w:szCs w:val="20"/>
        </w:rPr>
        <w:t xml:space="preserve">Kako bi se osigurala poštena i transparentna obrada osobnih podataka, u skladu s člankom 13. </w:t>
      </w:r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1AFDD287" w14:textId="77777777"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14:paraId="16824C9A" w14:textId="77777777"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14:paraId="1FC17555" w14:textId="77777777"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14:paraId="5BBEF8FF" w14:textId="77777777"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14:paraId="4863348A" w14:textId="77777777" w:rsidR="00856C35" w:rsidRPr="009D7AD0" w:rsidRDefault="00E7133E" w:rsidP="00856C35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Kontakt podaci voditelja obrade</w:t>
      </w:r>
    </w:p>
    <w:p w14:paraId="20E36D2C" w14:textId="77777777"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14:paraId="05F8E2B6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4FDFFF0F" w14:textId="77777777"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Voditelj obrade</w:t>
            </w:r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5F48C6A0" w14:textId="77777777"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Grad Zagreb, Trg Stjepana Radića 1, 10000 Zagreb</w:t>
            </w:r>
          </w:p>
        </w:tc>
      </w:tr>
    </w:tbl>
    <w:p w14:paraId="381E19E3" w14:textId="77777777" w:rsidR="00856C35" w:rsidRPr="009D7AD0" w:rsidRDefault="00856C35">
      <w:pPr>
        <w:rPr>
          <w:rFonts w:asciiTheme="majorHAnsi" w:hAnsiTheme="majorHAnsi" w:cstheme="majorHAnsi"/>
        </w:rPr>
      </w:pPr>
    </w:p>
    <w:p w14:paraId="75D3F506" w14:textId="77777777" w:rsidR="0030222D" w:rsidRPr="009D7AD0" w:rsidRDefault="0030222D" w:rsidP="0030222D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14:paraId="4AC1CF44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F6BE608" w14:textId="77777777"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Naziv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4964AEAD" w14:textId="77777777"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368E00A9" w14:textId="77777777" w:rsidR="000F2DF4" w:rsidRPr="009D7AD0" w:rsidRDefault="00E7133E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Mail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0BC16C2" w14:textId="77777777"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14:paraId="2F6AF3CB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83945CA" w14:textId="77777777"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370C69" w14:textId="77777777" w:rsidR="000F2DF4" w:rsidRPr="009D7AD0" w:rsidRDefault="00E7133E" w:rsidP="00F6688C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r w:rsidR="00F6688C">
              <w:rPr>
                <w:rFonts w:asciiTheme="majorHAnsi" w:hAnsiTheme="majorHAnsi" w:cstheme="majorHAnsi"/>
                <w:lang w:eastAsia="hr-HR"/>
              </w:rPr>
              <w:t xml:space="preserve">Stručna </w:t>
            </w:r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>lužba gradonačelnika</w:t>
            </w: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12E3CA33" w14:textId="77777777" w:rsidR="000F2DF4" w:rsidRPr="009D7AD0" w:rsidRDefault="0030222D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Telefon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D0C6E4" w14:textId="77777777"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14:paraId="094343FC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351779DB" w14:textId="77777777"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60AA887E" w14:textId="77777777"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>Park stara trešnjevka 2</w:t>
            </w:r>
          </w:p>
        </w:tc>
      </w:tr>
    </w:tbl>
    <w:p w14:paraId="7493D7D6" w14:textId="77777777" w:rsidR="00871876" w:rsidRPr="009D7AD0" w:rsidRDefault="0030222D" w:rsidP="00871876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946"/>
      </w:tblGrid>
      <w:tr w:rsidR="000D2539" w:rsidRPr="009D7AD0" w14:paraId="5D06DC26" w14:textId="77777777" w:rsidTr="00016259">
        <w:trPr>
          <w:trHeight w:val="288"/>
        </w:trPr>
        <w:tc>
          <w:tcPr>
            <w:tcW w:w="1134" w:type="dxa"/>
            <w:vAlign w:val="bottom"/>
          </w:tcPr>
          <w:p w14:paraId="66CC1CE8" w14:textId="7E470E66" w:rsidR="000D2539" w:rsidRPr="009D7AD0" w:rsidRDefault="000D2539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46" w:type="dxa"/>
            <w:tcBorders>
              <w:bottom w:val="single" w:sz="4" w:space="0" w:color="auto"/>
            </w:tcBorders>
            <w:vAlign w:val="bottom"/>
          </w:tcPr>
          <w:p w14:paraId="0D6A2075" w14:textId="77777777" w:rsidR="002B132B" w:rsidRDefault="002B132B" w:rsidP="005E332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  <w:p w14:paraId="5DE8DC8D" w14:textId="77777777" w:rsidR="002B132B" w:rsidRDefault="002B132B" w:rsidP="005E332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  <w:p w14:paraId="3F7DED56" w14:textId="4EF3514E" w:rsidR="000D2539" w:rsidRPr="009D7AD0" w:rsidRDefault="00016259" w:rsidP="00016259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rPr>
                <w:lang w:val="hr-HR"/>
              </w:rPr>
              <w:t xml:space="preserve">       Svrha obrade je d</w:t>
            </w:r>
            <w:r w:rsidR="002B132B">
              <w:rPr>
                <w:lang w:val="hr-HR"/>
              </w:rPr>
              <w:t xml:space="preserve">odjela novčane pomoći prijaviteljima štete na imovini, </w:t>
            </w:r>
            <w:r>
              <w:rPr>
                <w:lang w:val="hr-HR"/>
              </w:rPr>
              <w:t xml:space="preserve">a osobni podaci se obrađuju temeljem odredbe članka 6. stavka 1. točke c) Opće uredbe o zaštiti podataka (SL EU L 119), a </w:t>
            </w:r>
            <w:r w:rsidR="002B132B">
              <w:rPr>
                <w:lang w:val="hr-HR"/>
              </w:rPr>
              <w:t>sukladno odredbama Odluke o novčanoj pomoći za sanaciju oštećenja nastalih na imovini zbog nevremena na području Grada Zagreba od 26. do 28. ožujka 2026. (SGGZ, 17/26)</w:t>
            </w:r>
            <w:r>
              <w:rPr>
                <w:lang w:val="hr-HR"/>
              </w:rPr>
              <w:t xml:space="preserve">, </w:t>
            </w:r>
            <w:r w:rsidR="002B132B">
              <w:rPr>
                <w:lang w:val="hr-HR"/>
              </w:rPr>
              <w:t>Javnog</w:t>
            </w:r>
            <w:r w:rsidR="005916BA" w:rsidRPr="00F539CA">
              <w:rPr>
                <w:lang w:val="hr-HR"/>
              </w:rPr>
              <w:t xml:space="preserve"> </w:t>
            </w:r>
            <w:r w:rsidR="005E332E" w:rsidRPr="00F539CA">
              <w:rPr>
                <w:lang w:val="hr-HR"/>
              </w:rPr>
              <w:t>poziv</w:t>
            </w:r>
            <w:r w:rsidR="002B132B">
              <w:rPr>
                <w:lang w:val="hr-HR"/>
              </w:rPr>
              <w:t>a</w:t>
            </w:r>
            <w:r w:rsidR="005E332E">
              <w:t xml:space="preserve"> za </w:t>
            </w:r>
            <w:r w:rsidR="00ED6AAE" w:rsidRPr="00ED6AAE">
              <w:t>dostavu dokumentacije kojom se dokazuje ispunjavanje uvjeta za dodjelu novčane pomoći za sanaciju oštećenja nastalih na imovini zbog nevremena na području Grada Zagreba</w:t>
            </w:r>
            <w:r w:rsidR="00401A9B">
              <w:t xml:space="preserve"> </w:t>
            </w:r>
            <w:r w:rsidR="00401A9B" w:rsidRPr="00401A9B">
              <w:t>od 26. do 28. ožujka 2026</w:t>
            </w:r>
            <w:r w:rsidR="0052694B">
              <w:t>.</w:t>
            </w:r>
            <w:r>
              <w:t>, Zakona o porezu na dohodak, Zakona o PDV-u i Općeg poreznog zakona, u dijelu se obrađuju temeljm odredbe članka 6. stavka 1. točke  a) Opće uredbe – temeljm dane privole ispitanika, a nakon sklaopanja ugovora, temeljem odredbe članka 6. stavka 1. točke b) Opće uredbe</w:t>
            </w:r>
          </w:p>
        </w:tc>
      </w:tr>
    </w:tbl>
    <w:p w14:paraId="3E5CC7B0" w14:textId="77777777" w:rsidR="00C473DF" w:rsidRPr="009D7AD0" w:rsidRDefault="00C473DF" w:rsidP="00C473DF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9D7AD0" w14:paraId="12D80BE1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8658D2C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AE5897B" w14:textId="371A3FCE" w:rsidR="00C473DF" w:rsidRPr="009D7AD0" w:rsidRDefault="005916BA" w:rsidP="001C495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Predmet svakog ispit</w:t>
            </w:r>
            <w:r w:rsidR="005E332E">
              <w:rPr>
                <w:rFonts w:asciiTheme="majorHAnsi" w:hAnsiTheme="majorHAnsi" w:cstheme="majorHAnsi"/>
                <w:b w:val="0"/>
              </w:rPr>
              <w:t>anika koji je u pisanom obliku č</w:t>
            </w:r>
            <w:r w:rsidR="001C4957">
              <w:rPr>
                <w:rFonts w:asciiTheme="majorHAnsi" w:hAnsiTheme="majorHAnsi" w:cstheme="majorHAnsi"/>
                <w:b w:val="0"/>
              </w:rPr>
              <w:t>uva se 10 godina</w:t>
            </w:r>
          </w:p>
        </w:tc>
      </w:tr>
      <w:tr w:rsidR="00C473DF" w:rsidRPr="009D7AD0" w14:paraId="23D94AC2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54C6233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E5FFF7D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48BEB6EF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215C0FA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799221D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1249568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77CC72A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8F17604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64CD5842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2289B2DE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79FB41C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34BFBDC2" w14:textId="77777777" w:rsidR="00871876" w:rsidRPr="009D7AD0" w:rsidRDefault="00C473DF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>Prava ispitanika</w:t>
      </w:r>
    </w:p>
    <w:p w14:paraId="3ADF96E4" w14:textId="77777777" w:rsidR="00C92A3C" w:rsidRPr="009D7AD0" w:rsidRDefault="00C92A3C">
      <w:pPr>
        <w:rPr>
          <w:rFonts w:asciiTheme="majorHAnsi" w:hAnsiTheme="majorHAnsi" w:cstheme="majorHAnsi"/>
        </w:rPr>
      </w:pPr>
    </w:p>
    <w:p w14:paraId="2EAC7362" w14:textId="77777777"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r w:rsidRPr="001211C1">
        <w:rPr>
          <w:rFonts w:asciiTheme="majorHAnsi" w:hAnsiTheme="majorHAnsi" w:cstheme="majorHAnsi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14:paraId="28D3462D" w14:textId="77777777" w:rsidR="00871876" w:rsidRPr="009D7AD0" w:rsidRDefault="00183B8A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14:paraId="0F351B37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4C380271" w14:textId="77777777"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14:paraId="1BC27794" w14:textId="77777777" w:rsidR="00142A29" w:rsidRPr="009D7AD0" w:rsidRDefault="00142A29" w:rsidP="00142A29">
            <w:pPr>
              <w:rPr>
                <w:rFonts w:asciiTheme="majorHAnsi" w:hAnsiTheme="majorHAnsi" w:cstheme="majorHAnsi"/>
              </w:rPr>
            </w:pPr>
          </w:p>
          <w:p w14:paraId="0E722A08" w14:textId="77777777"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Vrši se zbog Zakonske/Ugovorne obveze</w:t>
            </w:r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4CC33066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14:paraId="77249B6F" w14:textId="77777777" w:rsidR="00142A29" w:rsidRPr="009D7AD0" w:rsidRDefault="00142A29" w:rsidP="005916B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5916B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16BA">
              <w:rPr>
                <w:rFonts w:asciiTheme="majorHAnsi" w:hAnsiTheme="majorHAnsi" w:cstheme="majorHAnsi"/>
              </w:rPr>
              <w:instrText xml:space="preserve"> FORMCHECKBOX </w:instrText>
            </w:r>
            <w:r w:rsidR="001C4957">
              <w:rPr>
                <w:rFonts w:asciiTheme="majorHAnsi" w:hAnsiTheme="majorHAnsi" w:cstheme="majorHAnsi"/>
              </w:rPr>
            </w:r>
            <w:r w:rsidR="001C4957">
              <w:rPr>
                <w:rFonts w:asciiTheme="majorHAnsi" w:hAnsiTheme="majorHAnsi" w:cstheme="majorHAnsi"/>
              </w:rPr>
              <w:fldChar w:fldCharType="separate"/>
            </w:r>
            <w:r w:rsidR="005916BA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1C4957">
              <w:rPr>
                <w:rFonts w:asciiTheme="majorHAnsi" w:hAnsiTheme="majorHAnsi" w:cstheme="majorHAnsi"/>
              </w:rPr>
            </w:r>
            <w:r w:rsidR="001C4957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26BDE1F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14:paraId="4047EA58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0361B931" w14:textId="77777777"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14:paraId="570A46B8" w14:textId="77777777"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14:paraId="51EB6C55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21F60238" w14:textId="77777777"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Kao uvjet nužan za sklapanje ugovora</w:t>
            </w:r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75BFE66C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14:paraId="5DF7B365" w14:textId="77777777" w:rsidR="00310DE2" w:rsidRPr="009D7AD0" w:rsidRDefault="00310DE2" w:rsidP="005916B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5916BA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"/>
            <w:r w:rsidR="005916BA">
              <w:rPr>
                <w:rFonts w:asciiTheme="majorHAnsi" w:hAnsiTheme="majorHAnsi" w:cstheme="majorHAnsi"/>
              </w:rPr>
              <w:instrText xml:space="preserve"> FORMCHECKBOX </w:instrText>
            </w:r>
            <w:r w:rsidR="001C4957">
              <w:rPr>
                <w:rFonts w:asciiTheme="majorHAnsi" w:hAnsiTheme="majorHAnsi" w:cstheme="majorHAnsi"/>
              </w:rPr>
            </w:r>
            <w:r w:rsidR="001C4957">
              <w:rPr>
                <w:rFonts w:asciiTheme="majorHAnsi" w:hAnsiTheme="majorHAnsi" w:cstheme="majorHAnsi"/>
              </w:rPr>
              <w:fldChar w:fldCharType="separate"/>
            </w:r>
            <w:r w:rsidR="005916BA">
              <w:rPr>
                <w:rFonts w:asciiTheme="majorHAnsi" w:hAnsiTheme="majorHAnsi" w:cstheme="majorHAnsi"/>
              </w:rPr>
              <w:fldChar w:fldCharType="end"/>
            </w:r>
            <w:bookmarkEnd w:id="0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1C4957">
              <w:rPr>
                <w:rFonts w:asciiTheme="majorHAnsi" w:hAnsiTheme="majorHAnsi" w:cstheme="majorHAnsi"/>
              </w:rPr>
            </w:r>
            <w:r w:rsidR="001C4957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02AA14C5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4FA7DD82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14:paraId="681A32D3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75E9B2E5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2180DFE6" w14:textId="166ACC86" w:rsidR="008576D9" w:rsidRPr="009D7AD0" w:rsidRDefault="005916BA" w:rsidP="005E332E">
            <w:pPr>
              <w:pStyle w:val="Details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Nemogućnost sklapanja ugovora i ostvarivanje prava na </w:t>
            </w:r>
            <w:r w:rsidR="005E332E">
              <w:rPr>
                <w:rFonts w:asciiTheme="majorHAnsi" w:hAnsiTheme="majorHAnsi" w:cstheme="majorHAnsi"/>
              </w:rPr>
              <w:t>novčanu pomoć</w:t>
            </w:r>
            <w:r w:rsidR="00A91DBD">
              <w:rPr>
                <w:rFonts w:asciiTheme="majorHAnsi" w:hAnsiTheme="majorHAnsi" w:cstheme="majorHAnsi"/>
              </w:rPr>
              <w:t xml:space="preserve"> </w:t>
            </w:r>
            <w:r w:rsidR="00A91DBD" w:rsidRPr="00A91DBD">
              <w:rPr>
                <w:rFonts w:asciiTheme="majorHAnsi" w:hAnsiTheme="majorHAnsi" w:cstheme="majorHAnsi"/>
              </w:rPr>
              <w:t xml:space="preserve">za sanaciju oštećenja nastalih na imovini zbog nevremena na području Grada Zagreba </w:t>
            </w:r>
            <w:r w:rsidR="0052694B" w:rsidRPr="00401A9B">
              <w:rPr>
                <w:rFonts w:asciiTheme="majorHAnsi" w:hAnsiTheme="majorHAnsi" w:cstheme="majorHAnsi"/>
              </w:rPr>
              <w:t>od 26. do 28. ožujka 2026</w:t>
            </w:r>
            <w:r w:rsidR="0052694B">
              <w:rPr>
                <w:rFonts w:asciiTheme="majorHAnsi" w:hAnsiTheme="majorHAnsi" w:cstheme="majorHAnsi"/>
                <w:b/>
              </w:rPr>
              <w:t xml:space="preserve">. </w:t>
            </w:r>
            <w:r w:rsidR="0052694B" w:rsidRPr="0052694B">
              <w:rPr>
                <w:rFonts w:asciiTheme="majorHAnsi" w:hAnsiTheme="majorHAnsi" w:cstheme="majorHAnsi"/>
                <w:bCs/>
              </w:rPr>
              <w:t>godine</w:t>
            </w:r>
          </w:p>
        </w:tc>
      </w:tr>
      <w:tr w:rsidR="001211C1" w:rsidRPr="009D7AD0" w14:paraId="76526EBB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501CB24D" w14:textId="77777777"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77F11228" w14:textId="77777777"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14:paraId="536EF2D8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14:paraId="2B22F0C9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62672C7F" w14:textId="77777777" w:rsidR="008576D9" w:rsidRPr="001211C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767C1107" w14:textId="77777777"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>Primatelji osobnih podataka</w:t>
      </w:r>
    </w:p>
    <w:p w14:paraId="10A63AB9" w14:textId="77777777"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14:paraId="3DD6A6F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4278460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B0E476C" w14:textId="4C80217E" w:rsidR="008576D9" w:rsidRPr="009D7AD0" w:rsidRDefault="00242D37" w:rsidP="001C495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 w:rsidRPr="00242D37">
              <w:rPr>
                <w:rFonts w:asciiTheme="majorHAnsi" w:hAnsiTheme="majorHAnsi" w:cstheme="majorHAnsi"/>
                <w:b w:val="0"/>
              </w:rPr>
              <w:t>nadležna javnopravna tijela RH</w:t>
            </w:r>
            <w:r w:rsidR="001C4957">
              <w:rPr>
                <w:rFonts w:asciiTheme="majorHAnsi" w:hAnsiTheme="majorHAnsi" w:cstheme="majorHAnsi"/>
                <w:b w:val="0"/>
              </w:rPr>
              <w:t xml:space="preserve"> (Ministarstvo financija - porezna uprava)</w:t>
            </w:r>
          </w:p>
        </w:tc>
      </w:tr>
      <w:tr w:rsidR="008576D9" w:rsidRPr="009D7AD0" w14:paraId="4F429DF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ED03C6D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5AB149D" w14:textId="77777777"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14:paraId="49B382F2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06B352D0" w14:textId="77777777"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  <w:t>Prijenos i obrada podataka</w:t>
      </w:r>
    </w:p>
    <w:p w14:paraId="287CA153" w14:textId="77777777"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14:paraId="328EDFE6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5045A3A0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 obrade namjerava osobne podatke prenositi trećim zemljama izvan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1AA30CFD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14:paraId="7C3613E8" w14:textId="77777777"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1C4957">
              <w:rPr>
                <w:rFonts w:asciiTheme="majorHAnsi" w:hAnsiTheme="majorHAnsi" w:cstheme="majorHAnsi"/>
                <w:szCs w:val="17"/>
              </w:rPr>
            </w:r>
            <w:r w:rsidR="001C4957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1C4957">
              <w:rPr>
                <w:rFonts w:asciiTheme="majorHAnsi" w:hAnsiTheme="majorHAnsi" w:cstheme="majorHAnsi"/>
                <w:szCs w:val="17"/>
              </w:rPr>
            </w:r>
            <w:r w:rsidR="001C4957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14:paraId="41A6AEDB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14:paraId="7748E81D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2E305A51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14:paraId="10058E26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Voditelj obrade namjerava osobne podatke obrađivati i u druge svrhe 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402B0E8A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14:paraId="4ED98997" w14:textId="77777777"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1C4957">
              <w:rPr>
                <w:rFonts w:asciiTheme="majorHAnsi" w:hAnsiTheme="majorHAnsi" w:cstheme="majorHAnsi"/>
                <w:szCs w:val="17"/>
              </w:rPr>
            </w:r>
            <w:r w:rsidR="001C4957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1C4957">
              <w:rPr>
                <w:rFonts w:asciiTheme="majorHAnsi" w:hAnsiTheme="majorHAnsi" w:cstheme="majorHAnsi"/>
                <w:szCs w:val="17"/>
              </w:rPr>
            </w:r>
            <w:r w:rsidR="001C4957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0A804E4F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14:paraId="42FDA250" w14:textId="77777777"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1211C1" w14:paraId="67BE9B8C" w14:textId="77777777" w:rsidTr="009D7AD0">
        <w:trPr>
          <w:trHeight w:val="288"/>
        </w:trPr>
        <w:tc>
          <w:tcPr>
            <w:tcW w:w="20" w:type="dxa"/>
            <w:vAlign w:val="bottom"/>
          </w:tcPr>
          <w:p w14:paraId="1748A19E" w14:textId="77777777" w:rsidR="009D7AD0" w:rsidRPr="001211C1" w:rsidRDefault="009D7AD0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586CF9F9" w14:textId="77777777" w:rsidR="009D7AD0" w:rsidRPr="001211C1" w:rsidRDefault="009D7AD0" w:rsidP="00B063D6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</w:tbl>
    <w:p w14:paraId="16623EC0" w14:textId="77777777" w:rsidR="009D7AD0" w:rsidRPr="009D7AD0" w:rsidRDefault="009D7AD0" w:rsidP="009D7AD0">
      <w:pPr>
        <w:rPr>
          <w:rFonts w:asciiTheme="majorHAnsi" w:hAnsiTheme="majorHAnsi" w:cstheme="majorHAnsi"/>
        </w:rPr>
      </w:pPr>
    </w:p>
    <w:p w14:paraId="520E0D03" w14:textId="77777777"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  <w:t>Nadzorno tijelo</w:t>
      </w:r>
    </w:p>
    <w:p w14:paraId="00160DF3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6921DF4B" w14:textId="066EE4B8"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r w:rsidRPr="001211C1">
        <w:rPr>
          <w:rFonts w:asciiTheme="majorHAnsi" w:hAnsiTheme="majorHAnsi" w:cstheme="majorHAnsi"/>
          <w:szCs w:val="19"/>
          <w:lang w:eastAsia="hr-HR"/>
        </w:rPr>
        <w:t xml:space="preserve">Nadzorno tijelo za provedbu Opće uredbe o zaštiti podataka je Agencija za zaštitu podatka sa sjedištem u Zagrebu, </w:t>
      </w:r>
      <w:r w:rsidR="001C4957">
        <w:rPr>
          <w:rFonts w:asciiTheme="majorHAnsi" w:hAnsiTheme="majorHAnsi" w:cstheme="majorHAnsi"/>
          <w:szCs w:val="19"/>
          <w:lang w:eastAsia="hr-HR"/>
        </w:rPr>
        <w:t>Metela Ožegovića 16</w:t>
      </w:r>
      <w:bookmarkStart w:id="2" w:name="_GoBack"/>
      <w:bookmarkEnd w:id="2"/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="00E7441B" w:rsidRPr="00E7441B">
          <w:rPr>
            <w:rStyle w:val="Hyperlink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14:paraId="53802D0B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774CDC94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5AB714F2" w14:textId="77777777"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DD18B" w14:textId="77777777" w:rsidR="003C1313" w:rsidRDefault="003C1313" w:rsidP="00176E67">
      <w:r>
        <w:separator/>
      </w:r>
    </w:p>
  </w:endnote>
  <w:endnote w:type="continuationSeparator" w:id="0">
    <w:p w14:paraId="0AD84842" w14:textId="77777777" w:rsidR="003C1313" w:rsidRDefault="003C1313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14:paraId="7A9F92B2" w14:textId="5B73D159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9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9916A" w14:textId="77777777" w:rsidR="003C1313" w:rsidRDefault="003C1313" w:rsidP="00176E67">
      <w:r>
        <w:separator/>
      </w:r>
    </w:p>
  </w:footnote>
  <w:footnote w:type="continuationSeparator" w:id="0">
    <w:p w14:paraId="7B1996C2" w14:textId="77777777" w:rsidR="003C1313" w:rsidRDefault="003C1313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227A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16259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6E67"/>
    <w:rsid w:val="00180664"/>
    <w:rsid w:val="00183B8A"/>
    <w:rsid w:val="001903F7"/>
    <w:rsid w:val="0019395E"/>
    <w:rsid w:val="001C4957"/>
    <w:rsid w:val="001D6B76"/>
    <w:rsid w:val="00211828"/>
    <w:rsid w:val="002266BD"/>
    <w:rsid w:val="00242D37"/>
    <w:rsid w:val="00250014"/>
    <w:rsid w:val="00275BB5"/>
    <w:rsid w:val="00286F6A"/>
    <w:rsid w:val="00291C8C"/>
    <w:rsid w:val="002A1ECE"/>
    <w:rsid w:val="002A2510"/>
    <w:rsid w:val="002A6FA9"/>
    <w:rsid w:val="002B132B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C1313"/>
    <w:rsid w:val="003D6415"/>
    <w:rsid w:val="00400251"/>
    <w:rsid w:val="00401A9B"/>
    <w:rsid w:val="00437ED0"/>
    <w:rsid w:val="0044046B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2694B"/>
    <w:rsid w:val="005435EC"/>
    <w:rsid w:val="00554D31"/>
    <w:rsid w:val="005557F6"/>
    <w:rsid w:val="00563778"/>
    <w:rsid w:val="005916BA"/>
    <w:rsid w:val="005A5B86"/>
    <w:rsid w:val="005B4AE2"/>
    <w:rsid w:val="005E332E"/>
    <w:rsid w:val="005E63CC"/>
    <w:rsid w:val="005F6E87"/>
    <w:rsid w:val="00607FED"/>
    <w:rsid w:val="00613129"/>
    <w:rsid w:val="00617C65"/>
    <w:rsid w:val="0063459A"/>
    <w:rsid w:val="006468D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3AEF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D7A67"/>
    <w:rsid w:val="008F2F8A"/>
    <w:rsid w:val="008F5BCD"/>
    <w:rsid w:val="00902964"/>
    <w:rsid w:val="00907BCE"/>
    <w:rsid w:val="00920507"/>
    <w:rsid w:val="00933455"/>
    <w:rsid w:val="00941F5F"/>
    <w:rsid w:val="0094790F"/>
    <w:rsid w:val="009607A2"/>
    <w:rsid w:val="00966B90"/>
    <w:rsid w:val="009737B7"/>
    <w:rsid w:val="009802C4"/>
    <w:rsid w:val="009976D9"/>
    <w:rsid w:val="00997A3E"/>
    <w:rsid w:val="009A12D5"/>
    <w:rsid w:val="009A4EA3"/>
    <w:rsid w:val="009A55DC"/>
    <w:rsid w:val="009B5F84"/>
    <w:rsid w:val="009C220D"/>
    <w:rsid w:val="009D7AD0"/>
    <w:rsid w:val="00A211B2"/>
    <w:rsid w:val="00A2727E"/>
    <w:rsid w:val="00A35524"/>
    <w:rsid w:val="00A41DFD"/>
    <w:rsid w:val="00A60C9E"/>
    <w:rsid w:val="00A74F99"/>
    <w:rsid w:val="00A82BA3"/>
    <w:rsid w:val="00A91DBD"/>
    <w:rsid w:val="00A94ACC"/>
    <w:rsid w:val="00AA2EA7"/>
    <w:rsid w:val="00AE6FA4"/>
    <w:rsid w:val="00B03907"/>
    <w:rsid w:val="00B063D6"/>
    <w:rsid w:val="00B11811"/>
    <w:rsid w:val="00B311E1"/>
    <w:rsid w:val="00B4735C"/>
    <w:rsid w:val="00B579DF"/>
    <w:rsid w:val="00B90EC2"/>
    <w:rsid w:val="00BA268F"/>
    <w:rsid w:val="00BB6110"/>
    <w:rsid w:val="00BC07E3"/>
    <w:rsid w:val="00BD0DAE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62985"/>
    <w:rsid w:val="00D81296"/>
    <w:rsid w:val="00D83A19"/>
    <w:rsid w:val="00D86A85"/>
    <w:rsid w:val="00D90A75"/>
    <w:rsid w:val="00D92321"/>
    <w:rsid w:val="00DA4514"/>
    <w:rsid w:val="00DA7560"/>
    <w:rsid w:val="00DC47A2"/>
    <w:rsid w:val="00DE1551"/>
    <w:rsid w:val="00DE1A09"/>
    <w:rsid w:val="00DE7FB7"/>
    <w:rsid w:val="00DF7460"/>
    <w:rsid w:val="00E106E2"/>
    <w:rsid w:val="00E20DDA"/>
    <w:rsid w:val="00E32A8B"/>
    <w:rsid w:val="00E36054"/>
    <w:rsid w:val="00E37E7B"/>
    <w:rsid w:val="00E46E04"/>
    <w:rsid w:val="00E7133E"/>
    <w:rsid w:val="00E7441B"/>
    <w:rsid w:val="00E87396"/>
    <w:rsid w:val="00E92CBC"/>
    <w:rsid w:val="00E96F6F"/>
    <w:rsid w:val="00EB478A"/>
    <w:rsid w:val="00EC42A3"/>
    <w:rsid w:val="00ED6AAE"/>
    <w:rsid w:val="00EF16BD"/>
    <w:rsid w:val="00F0652E"/>
    <w:rsid w:val="00F109CA"/>
    <w:rsid w:val="00F539CA"/>
    <w:rsid w:val="00F6688C"/>
    <w:rsid w:val="00F83033"/>
    <w:rsid w:val="00F966AA"/>
    <w:rsid w:val="00FB4697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8776D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  <w:style w:type="paragraph" w:styleId="NoSpacing">
    <w:name w:val="No Spacing"/>
    <w:uiPriority w:val="1"/>
    <w:semiHidden/>
    <w:unhideWhenUsed/>
    <w:qFormat/>
    <w:rsid w:val="00ED6AAE"/>
    <w:rPr>
      <w:rFonts w:asciiTheme="minorHAnsi" w:hAnsiTheme="minorHAnsi"/>
      <w:sz w:val="19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441B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01625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1" ma:contentTypeDescription="Create a new document." ma:contentTypeScope="" ma:versionID="1068c8ded7cb3bbce4e5216a9d0c5ea1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7798ac38f37459e252a46d1c66ca06ea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TDXQ5M2W4VDM-2127013023-248</_dlc_DocId>
    <_dlc_DocIdUrl xmlns="56d5e6f6-e81b-4632-a278-9a40ed7f0445">
      <Url>https://agram365.sharepoint.com/sites/Portal-Dokumenti/_layouts/15/DocIdRedir.aspx?ID=TDXQ5M2W4VDM-2127013023-248</Url>
      <Description>TDXQ5M2W4VDM-2127013023-248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63AC95-B0A6-49C4-9BA4-12165EFD2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841E9C-DD70-43BA-A598-2348BE19E537}">
  <ds:schemaRefs>
    <ds:schemaRef ds:uri="http://schemas.microsoft.com/office/2006/documentManagement/types"/>
    <ds:schemaRef ds:uri="aa0b9c0f-c150-436f-ba6a-baa891891072"/>
    <ds:schemaRef ds:uri="http://purl.org/dc/elements/1.1/"/>
    <ds:schemaRef ds:uri="http://schemas.microsoft.com/office/2006/metadata/properties"/>
    <ds:schemaRef ds:uri="http://schemas.microsoft.com/sharepoint/v3"/>
    <ds:schemaRef ds:uri="56d5e6f6-e81b-4632-a278-9a40ed7f0445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414</Words>
  <Characters>2831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Branimir Lončar</cp:lastModifiedBy>
  <cp:revision>2</cp:revision>
  <cp:lastPrinted>2026-05-04T07:56:00Z</cp:lastPrinted>
  <dcterms:created xsi:type="dcterms:W3CDTF">2026-05-04T09:29:00Z</dcterms:created>
  <dcterms:modified xsi:type="dcterms:W3CDTF">2026-05-04T09:29:00Z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a7b1d5c4-4890-43e7-ace4-e6333f80f43e</vt:lpwstr>
  </property>
  <property fmtid="{D5CDD505-2E9C-101B-9397-08002B2CF9AE}" pid="5" name="Order">
    <vt:r8>15300</vt:r8>
  </property>
</Properties>
</file>